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87" w:rsidRPr="005B0939" w:rsidRDefault="003F3487" w:rsidP="00A73B77">
      <w:pPr>
        <w:spacing w:after="100"/>
        <w:rPr>
          <w:b/>
        </w:rPr>
      </w:pPr>
      <w:bookmarkStart w:id="0" w:name="_GoBack"/>
      <w:bookmarkEnd w:id="0"/>
    </w:p>
    <w:p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</w:p>
    <w:p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355BBB" w:rsidRPr="00F7378E">
        <w:rPr>
          <w:b/>
        </w:rPr>
        <w:t>Организация услуг</w:t>
      </w:r>
      <w:r w:rsidRPr="00F7378E">
        <w:rPr>
          <w:b/>
        </w:rPr>
        <w:t xml:space="preserve"> льготного </w:t>
      </w:r>
      <w:r w:rsidR="00355BBB" w:rsidRPr="00F7378E">
        <w:rPr>
          <w:b/>
        </w:rPr>
        <w:t>питания под</w:t>
      </w:r>
      <w:r w:rsidRPr="00F7378E">
        <w:rPr>
          <w:b/>
        </w:rPr>
        <w:t xml:space="preserve"> ведомость </w:t>
      </w:r>
      <w:r w:rsidR="00575621">
        <w:rPr>
          <w:b/>
        </w:rPr>
        <w:t xml:space="preserve">для персонала </w:t>
      </w:r>
      <w:r w:rsidR="003746B5" w:rsidRPr="003746B5">
        <w:rPr>
          <w:b/>
        </w:rPr>
        <w:t>ООО «ИЦ «ЕвроСибЭнерго»</w:t>
      </w:r>
      <w:r w:rsidR="003746B5">
        <w:rPr>
          <w:b/>
        </w:rPr>
        <w:t>»</w:t>
      </w:r>
    </w:p>
    <w:p w:rsidR="00355BBB" w:rsidRPr="00AD03A6" w:rsidRDefault="00E42A10" w:rsidP="003746B5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3746B5" w:rsidRPr="003746B5">
        <w:rPr>
          <w:sz w:val="23"/>
          <w:szCs w:val="23"/>
        </w:rPr>
        <w:t>ООО «ИЦ «ЕвроСибЭнерго»</w:t>
      </w:r>
      <w:r w:rsidR="00541D88">
        <w:rPr>
          <w:sz w:val="23"/>
          <w:szCs w:val="23"/>
        </w:rPr>
        <w:t xml:space="preserve"> </w:t>
      </w:r>
      <w:r w:rsidR="007F3CFD">
        <w:rPr>
          <w:sz w:val="23"/>
          <w:szCs w:val="23"/>
        </w:rPr>
        <w:t>в г.</w:t>
      </w:r>
      <w:r w:rsidR="00541D88">
        <w:rPr>
          <w:sz w:val="23"/>
          <w:szCs w:val="23"/>
        </w:rPr>
        <w:t xml:space="preserve"> </w:t>
      </w:r>
      <w:r w:rsidR="007F3CFD">
        <w:rPr>
          <w:sz w:val="23"/>
          <w:szCs w:val="23"/>
        </w:rPr>
        <w:t>Иркутск.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2.3.2.1078-01 «Гигиенические требования безопасности и пищевой ценности пищевых продуктов»;</w:t>
      </w:r>
    </w:p>
    <w:p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Расположение торг</w:t>
      </w:r>
      <w:r w:rsidR="00F80B83" w:rsidRPr="005B0939">
        <w:rPr>
          <w:bCs/>
        </w:rPr>
        <w:t>овых точек</w:t>
      </w:r>
      <w:r w:rsidR="002450B1">
        <w:rPr>
          <w:bCs/>
        </w:rPr>
        <w:t xml:space="preserve"> в</w:t>
      </w:r>
      <w:r w:rsidR="00FB5ABC" w:rsidRPr="005B0939">
        <w:rPr>
          <w:bCs/>
        </w:rPr>
        <w:t xml:space="preserve"> г. </w:t>
      </w:r>
      <w:r w:rsidR="007F3CFD">
        <w:rPr>
          <w:bCs/>
        </w:rPr>
        <w:t>Иркутск</w:t>
      </w:r>
      <w:r w:rsidR="00AD03A6">
        <w:rPr>
          <w:bCs/>
        </w:rPr>
        <w:t>е.</w:t>
      </w:r>
      <w:r w:rsidRPr="005B0939">
        <w:rPr>
          <w:bCs/>
        </w:rPr>
        <w:t xml:space="preserve">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</w:t>
      </w:r>
      <w:r w:rsidR="0038429A">
        <w:rPr>
          <w:bCs/>
        </w:rPr>
        <w:t>лучателю – работникам Заказчика, под ведомость (Приложение №</w:t>
      </w:r>
      <w:r w:rsidR="007F3CFD">
        <w:rPr>
          <w:bCs/>
        </w:rPr>
        <w:t>1</w:t>
      </w:r>
      <w:r w:rsidR="0038429A">
        <w:rPr>
          <w:bCs/>
        </w:rPr>
        <w:t xml:space="preserve">) с 8 по 25 число каждого месяца. </w:t>
      </w:r>
    </w:p>
    <w:p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lastRenderedPageBreak/>
        <w:t>4</w:t>
      </w:r>
      <w:r w:rsidR="00F36F8A">
        <w:rPr>
          <w:bCs/>
        </w:rPr>
        <w:t>.3.1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.3.2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B2E27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B2D5F" w:rsidRPr="006B40E6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623806" w:rsidRPr="006B40E6">
        <w:rPr>
          <w:bCs/>
        </w:rPr>
        <w:t>.</w:t>
      </w:r>
    </w:p>
    <w:p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.3.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894773">
        <w:t>молоко,</w:t>
      </w:r>
      <w:r w:rsidR="002450B1">
        <w:t xml:space="preserve">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:rsidR="001B2E27" w:rsidRDefault="00CF0E4D" w:rsidP="00DC461C">
      <w:pPr>
        <w:jc w:val="both"/>
        <w:rPr>
          <w:bCs/>
        </w:rPr>
      </w:pPr>
      <w:r>
        <w:rPr>
          <w:bCs/>
        </w:rPr>
        <w:t>4.3.4</w:t>
      </w:r>
      <w:r w:rsidR="001B2E27">
        <w:rPr>
          <w:bCs/>
        </w:rPr>
        <w:t>. Овощная продукция:</w:t>
      </w:r>
    </w:p>
    <w:p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</w:p>
    <w:p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гидропонным методом. Технические условия.</w:t>
      </w:r>
      <w:r w:rsidR="00E165D0">
        <w:rPr>
          <w:bCs/>
        </w:rPr>
        <w:t>»</w:t>
      </w:r>
    </w:p>
    <w:p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</w:p>
    <w:p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</w:p>
    <w:p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Pr="006B40E6">
        <w:rPr>
          <w:bCs/>
        </w:rPr>
        <w:t>.</w:t>
      </w:r>
    </w:p>
    <w:p w:rsidR="001B2E27" w:rsidRPr="00F36F8A" w:rsidRDefault="0038429A" w:rsidP="0038429A">
      <w:pPr>
        <w:ind w:left="567" w:hanging="567"/>
        <w:jc w:val="both"/>
        <w:rPr>
          <w:bCs/>
        </w:rPr>
      </w:pPr>
      <w:r>
        <w:rPr>
          <w:bCs/>
        </w:rPr>
        <w:t xml:space="preserve">         -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:rsidR="00646662" w:rsidRDefault="00E42A10" w:rsidP="003746B5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="00C20868">
        <w:rPr>
          <w:bCs/>
        </w:rPr>
        <w:t>на 2022</w:t>
      </w:r>
      <w:r w:rsidR="001B2D5F" w:rsidRPr="00646662">
        <w:rPr>
          <w:bCs/>
        </w:rPr>
        <w:t>г</w:t>
      </w:r>
      <w:r w:rsidRPr="00646662">
        <w:rPr>
          <w:bCs/>
        </w:rPr>
        <w:t xml:space="preserve"> </w:t>
      </w:r>
      <w:r w:rsidRPr="00646662">
        <w:rPr>
          <w:bCs/>
        </w:rPr>
        <w:lastRenderedPageBreak/>
        <w:t xml:space="preserve">составляет </w:t>
      </w:r>
      <w:r w:rsidR="005B6039" w:rsidRPr="00646662">
        <w:rPr>
          <w:bCs/>
        </w:rPr>
        <w:t xml:space="preserve">1 </w:t>
      </w:r>
      <w:r w:rsidR="007F3CFD">
        <w:rPr>
          <w:bCs/>
        </w:rPr>
        <w:t>500</w:t>
      </w:r>
      <w:r w:rsidRPr="00646662">
        <w:rPr>
          <w:bCs/>
        </w:rPr>
        <w:t xml:space="preserve"> (</w:t>
      </w:r>
      <w:r w:rsidR="00A35603" w:rsidRPr="00646662">
        <w:rPr>
          <w:bCs/>
        </w:rPr>
        <w:t>Одна тысяча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 с НДС,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 </w:t>
      </w:r>
      <w:r w:rsidR="003746B5" w:rsidRPr="003746B5">
        <w:rPr>
          <w:sz w:val="23"/>
          <w:szCs w:val="23"/>
        </w:rPr>
        <w:t>ООО «ИЦ «ЕвроСибЭнерго»</w:t>
      </w:r>
    </w:p>
    <w:p w:rsidR="00E42A10" w:rsidRPr="00F36F8A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F36F8A">
        <w:rPr>
          <w:b/>
          <w:bCs/>
        </w:rPr>
        <w:t>Ориентировочн</w:t>
      </w:r>
      <w:r w:rsidR="003375EB">
        <w:rPr>
          <w:b/>
          <w:bCs/>
        </w:rPr>
        <w:t>ая</w:t>
      </w:r>
      <w:r w:rsidRPr="00F36F8A">
        <w:rPr>
          <w:b/>
          <w:bCs/>
        </w:rPr>
        <w:t xml:space="preserve"> </w:t>
      </w:r>
      <w:r w:rsidR="009B3F07">
        <w:rPr>
          <w:b/>
          <w:bCs/>
        </w:rPr>
        <w:t>сумма</w:t>
      </w:r>
      <w:r w:rsidRPr="00F36F8A">
        <w:rPr>
          <w:b/>
          <w:bCs/>
        </w:rPr>
        <w:t xml:space="preserve"> оказываемых услуг</w:t>
      </w:r>
      <w:r w:rsidR="00F73D01">
        <w:rPr>
          <w:b/>
          <w:bCs/>
        </w:rPr>
        <w:t xml:space="preserve"> в </w:t>
      </w:r>
      <w:r w:rsidR="007F3CFD">
        <w:rPr>
          <w:b/>
          <w:bCs/>
        </w:rPr>
        <w:t>2022г.</w:t>
      </w:r>
      <w:r w:rsidR="00C20868">
        <w:rPr>
          <w:b/>
          <w:bCs/>
        </w:rPr>
        <w:t xml:space="preserve"> - 202</w:t>
      </w:r>
      <w:r w:rsidR="00DF7FDC">
        <w:rPr>
          <w:b/>
          <w:bCs/>
        </w:rPr>
        <w:t>5</w:t>
      </w:r>
      <w:r w:rsidR="00F73D01" w:rsidRPr="00F73D01">
        <w:rPr>
          <w:b/>
          <w:bCs/>
        </w:rPr>
        <w:t xml:space="preserve"> г</w:t>
      </w:r>
      <w:r w:rsidR="00F73D01">
        <w:rPr>
          <w:b/>
          <w:bCs/>
        </w:rPr>
        <w:t>.</w:t>
      </w:r>
      <w:r w:rsidR="00541D88">
        <w:rPr>
          <w:b/>
          <w:bCs/>
        </w:rPr>
        <w:t xml:space="preserve"> (36 месяцев)</w:t>
      </w:r>
      <w:r w:rsidRPr="00F36F8A">
        <w:rPr>
          <w:b/>
          <w:bCs/>
        </w:rPr>
        <w:t>:</w:t>
      </w:r>
    </w:p>
    <w:p w:rsidR="00C20868" w:rsidRDefault="00DF7FDC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</w:pPr>
      <w:r>
        <w:t xml:space="preserve">378 </w:t>
      </w:r>
      <w:r w:rsidR="00DF10F2">
        <w:t>000</w:t>
      </w:r>
      <w:r w:rsidR="003375EB">
        <w:t xml:space="preserve"> рублей</w:t>
      </w:r>
      <w:r w:rsidR="003375EB" w:rsidRPr="008E70A9">
        <w:t xml:space="preserve"> (</w:t>
      </w:r>
      <w:r>
        <w:t>триста семьдесят восемь тысяч</w:t>
      </w:r>
      <w:r w:rsidR="007F3CFD">
        <w:t xml:space="preserve"> рублей</w:t>
      </w:r>
      <w:r w:rsidR="00C20868">
        <w:t xml:space="preserve"> 00 копеек), в том числе НДС</w:t>
      </w:r>
      <w:r w:rsidR="00C20868" w:rsidRPr="00C20868">
        <w:t xml:space="preserve"> по ставке, предусмотрен</w:t>
      </w:r>
      <w:r w:rsidR="00C20868">
        <w:t>ной действующей редакцией НК РФ.</w:t>
      </w:r>
    </w:p>
    <w:p w:rsidR="00E42A10" w:rsidRPr="005B0939" w:rsidRDefault="00E42A10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:rsidR="00E42A10" w:rsidRPr="009418C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:rsidR="00BF37F4" w:rsidRPr="009418C2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</w:t>
      </w:r>
      <w:r w:rsidR="002450B1" w:rsidRPr="009418C2">
        <w:rPr>
          <w:bCs/>
        </w:rPr>
        <w:t xml:space="preserve">ри заключении договора </w:t>
      </w:r>
      <w:r w:rsidR="006D6683" w:rsidRPr="009418C2">
        <w:rPr>
          <w:bCs/>
        </w:rPr>
        <w:t xml:space="preserve">необходимо представить: </w:t>
      </w:r>
    </w:p>
    <w:p w:rsidR="006D6683" w:rsidRPr="009418C2" w:rsidRDefault="00BF37F4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/>
          <w:bCs/>
        </w:rPr>
        <w:t xml:space="preserve"> </w:t>
      </w:r>
      <w:r w:rsidRPr="009418C2">
        <w:rPr>
          <w:bCs/>
        </w:rPr>
        <w:t>К</w:t>
      </w:r>
      <w:r w:rsidR="002450B1" w:rsidRPr="009418C2">
        <w:rPr>
          <w:bCs/>
        </w:rPr>
        <w:t xml:space="preserve">опии актов </w:t>
      </w:r>
      <w:r w:rsidR="006D6683" w:rsidRPr="009418C2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 xml:space="preserve"> </w:t>
      </w:r>
      <w:r w:rsidR="006D6683" w:rsidRPr="009418C2">
        <w:rPr>
          <w:bCs/>
        </w:rPr>
        <w:t>Все работники должны иметь санитарные книжки</w:t>
      </w:r>
      <w:r w:rsidR="006D6683" w:rsidRPr="006D6683">
        <w:rPr>
          <w:bCs/>
        </w:rPr>
        <w:t xml:space="preserve"> установленного образца с отметками</w:t>
      </w:r>
      <w:r w:rsidR="0045153E">
        <w:rPr>
          <w:bCs/>
        </w:rPr>
        <w:t>.</w:t>
      </w:r>
    </w:p>
    <w:p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:rsidR="0045153E" w:rsidRPr="003D1480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B16D8E" w:rsidRPr="003D1480">
        <w:rPr>
          <w:bCs/>
        </w:rPr>
        <w:t>Ведомость,</w:t>
      </w:r>
      <w:r w:rsidR="0045153E" w:rsidRPr="003D1480">
        <w:rPr>
          <w:bCs/>
        </w:rPr>
        <w:t xml:space="preserve"> подписанную (реестр) </w:t>
      </w:r>
      <w:r w:rsidR="00647E52" w:rsidRPr="009418C2">
        <w:rPr>
          <w:bCs/>
        </w:rPr>
        <w:t xml:space="preserve">по УПД, </w:t>
      </w:r>
      <w:r w:rsidR="0045153E" w:rsidRPr="009418C2">
        <w:rPr>
          <w:bCs/>
        </w:rPr>
        <w:t>с</w:t>
      </w:r>
      <w:r w:rsidR="0045153E" w:rsidRPr="003D1480">
        <w:rPr>
          <w:bCs/>
        </w:rPr>
        <w:t xml:space="preserve"> указанием периода, структурного подразделения, </w:t>
      </w:r>
      <w:r w:rsidR="00B16D8E" w:rsidRPr="003D1480">
        <w:rPr>
          <w:bCs/>
        </w:rPr>
        <w:t>личной подписью работника,</w:t>
      </w:r>
      <w:r w:rsidR="00B16D8E">
        <w:rPr>
          <w:bCs/>
        </w:rPr>
        <w:t xml:space="preserve"> получившего услугу.</w:t>
      </w:r>
    </w:p>
    <w:p w:rsidR="00EA5A5C" w:rsidRPr="0045153E" w:rsidRDefault="0046230B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7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C20868">
        <w:rPr>
          <w:b w:val="0"/>
        </w:rPr>
        <w:t>с 01.</w:t>
      </w:r>
      <w:r w:rsidR="00541D88">
        <w:rPr>
          <w:b w:val="0"/>
        </w:rPr>
        <w:t>06</w:t>
      </w:r>
      <w:r w:rsidR="007F3CFD">
        <w:rPr>
          <w:b w:val="0"/>
        </w:rPr>
        <w:t>.</w:t>
      </w:r>
      <w:r w:rsidR="00C20868">
        <w:rPr>
          <w:b w:val="0"/>
        </w:rPr>
        <w:t>2022</w:t>
      </w:r>
      <w:r w:rsidR="002450B1">
        <w:rPr>
          <w:b w:val="0"/>
        </w:rPr>
        <w:t>г</w:t>
      </w:r>
      <w:r w:rsidR="0032592A">
        <w:rPr>
          <w:b w:val="0"/>
        </w:rPr>
        <w:t>.</w:t>
      </w:r>
      <w:r w:rsidR="002450B1">
        <w:rPr>
          <w:b w:val="0"/>
        </w:rPr>
        <w:t xml:space="preserve"> </w:t>
      </w:r>
      <w:r w:rsidR="00541D88">
        <w:rPr>
          <w:b w:val="0"/>
        </w:rPr>
        <w:t>по 31.05</w:t>
      </w:r>
      <w:r w:rsidR="007F3CFD">
        <w:rPr>
          <w:b w:val="0"/>
        </w:rPr>
        <w:t>.202</w:t>
      </w:r>
      <w:r w:rsidR="00DF7FDC">
        <w:rPr>
          <w:b w:val="0"/>
        </w:rPr>
        <w:t>5</w:t>
      </w:r>
      <w:r w:rsidR="0045153E" w:rsidRPr="0045153E">
        <w:rPr>
          <w:b w:val="0"/>
        </w:rPr>
        <w:t>г.</w:t>
      </w:r>
    </w:p>
    <w:p w:rsidR="0045153E" w:rsidRDefault="0045153E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8B596D" w:rsidRDefault="007F3CFD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Директор по персоналу</w:t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r w:rsidR="006D570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3147695</wp:posOffset>
            </wp:positionH>
            <wp:positionV relativeFrom="paragraph">
              <wp:posOffset>3810</wp:posOffset>
            </wp:positionV>
            <wp:extent cx="981075" cy="82931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</w:r>
      <w:r w:rsidR="008B596D">
        <w:rPr>
          <w:b w:val="0"/>
        </w:rPr>
        <w:tab/>
        <w:t xml:space="preserve">О.В. </w:t>
      </w:r>
      <w:r>
        <w:rPr>
          <w:b w:val="0"/>
        </w:rPr>
        <w:t>Молодцова</w:t>
      </w:r>
    </w:p>
    <w:p w:rsidR="007F3CFD" w:rsidRDefault="007F3CFD">
      <w:pPr>
        <w:rPr>
          <w:bCs/>
        </w:rPr>
      </w:pPr>
      <w:r>
        <w:rPr>
          <w:b/>
        </w:rPr>
        <w:br w:type="page"/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  <w:r>
        <w:rPr>
          <w:b w:val="0"/>
        </w:rPr>
        <w:lastRenderedPageBreak/>
        <w:t>Приложение №1</w:t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  <w:r>
        <w:rPr>
          <w:b w:val="0"/>
        </w:rPr>
        <w:t>к техническому заданию</w:t>
      </w: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7F3CFD" w:rsidRDefault="007F3CFD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right"/>
        <w:rPr>
          <w:b w:val="0"/>
        </w:rPr>
      </w:pP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  <w:r>
        <w:rPr>
          <w:b w:val="0"/>
        </w:rPr>
        <w:t>Ведомость</w:t>
      </w:r>
    </w:p>
    <w:p w:rsidR="007F3CFD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  <w:r>
        <w:rPr>
          <w:b w:val="0"/>
        </w:rPr>
        <w:t xml:space="preserve"> на оказание услуг </w:t>
      </w: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  <w:sz w:val="23"/>
          <w:szCs w:val="23"/>
        </w:rPr>
      </w:pPr>
      <w:r>
        <w:rPr>
          <w:b w:val="0"/>
        </w:rPr>
        <w:t>«Организация услуг льготного питания под ведомость для персонала</w:t>
      </w:r>
      <w:r w:rsidRPr="006838EA">
        <w:rPr>
          <w:b w:val="0"/>
        </w:rPr>
        <w:t xml:space="preserve"> </w:t>
      </w:r>
      <w:r w:rsidR="003746B5" w:rsidRPr="003746B5">
        <w:rPr>
          <w:b w:val="0"/>
          <w:sz w:val="23"/>
          <w:szCs w:val="23"/>
        </w:rPr>
        <w:t>ООО «ИЦ «ЕвроСибЭнерго»</w:t>
      </w:r>
      <w:r>
        <w:rPr>
          <w:b w:val="0"/>
          <w:sz w:val="23"/>
          <w:szCs w:val="23"/>
        </w:rPr>
        <w:t>в г. Иркутске</w:t>
      </w: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  <w:sz w:val="23"/>
          <w:szCs w:val="23"/>
        </w:rPr>
      </w:pPr>
    </w:p>
    <w:p w:rsidR="006838EA" w:rsidRDefault="006838EA" w:rsidP="007F3CF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jc w:val="center"/>
        <w:rPr>
          <w:b w:val="0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20"/>
        <w:gridCol w:w="1346"/>
        <w:gridCol w:w="3245"/>
        <w:gridCol w:w="1824"/>
        <w:gridCol w:w="1438"/>
        <w:gridCol w:w="1380"/>
      </w:tblGrid>
      <w:tr w:rsidR="006838EA" w:rsidTr="006838EA">
        <w:trPr>
          <w:trHeight w:val="1268"/>
        </w:trPr>
        <w:tc>
          <w:tcPr>
            <w:tcW w:w="620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№ п/п</w:t>
            </w:r>
          </w:p>
        </w:tc>
        <w:tc>
          <w:tcPr>
            <w:tcW w:w="1346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Табельный номер</w:t>
            </w:r>
          </w:p>
        </w:tc>
        <w:tc>
          <w:tcPr>
            <w:tcW w:w="3245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ФИО</w:t>
            </w:r>
          </w:p>
        </w:tc>
        <w:tc>
          <w:tcPr>
            <w:tcW w:w="1824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Серия,номер документа, удостоверяющего личность</w:t>
            </w:r>
          </w:p>
        </w:tc>
        <w:tc>
          <w:tcPr>
            <w:tcW w:w="1438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Сумма,руб.</w:t>
            </w:r>
          </w:p>
        </w:tc>
        <w:tc>
          <w:tcPr>
            <w:tcW w:w="1380" w:type="dxa"/>
          </w:tcPr>
          <w:p w:rsidR="006838EA" w:rsidRDefault="006838EA" w:rsidP="006838EA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jc w:val="center"/>
              <w:rPr>
                <w:b w:val="0"/>
              </w:rPr>
            </w:pPr>
            <w:r>
              <w:rPr>
                <w:b w:val="0"/>
              </w:rPr>
              <w:t>Роспись в получении</w:t>
            </w: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  <w:tr w:rsidR="006838EA" w:rsidTr="006838EA">
        <w:tc>
          <w:tcPr>
            <w:tcW w:w="62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46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3245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824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438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  <w:tc>
          <w:tcPr>
            <w:tcW w:w="1380" w:type="dxa"/>
          </w:tcPr>
          <w:p w:rsidR="006838EA" w:rsidRDefault="006838EA" w:rsidP="008B596D">
            <w:pPr>
              <w:pStyle w:val="ab"/>
              <w:tabs>
                <w:tab w:val="left" w:pos="284"/>
                <w:tab w:val="left" w:pos="567"/>
                <w:tab w:val="left" w:pos="709"/>
                <w:tab w:val="left" w:pos="1418"/>
              </w:tabs>
              <w:spacing w:before="0" w:after="0"/>
              <w:contextualSpacing/>
              <w:rPr>
                <w:b w:val="0"/>
              </w:rPr>
            </w:pPr>
          </w:p>
        </w:tc>
      </w:tr>
    </w:tbl>
    <w:p w:rsidR="008B596D" w:rsidRDefault="008B596D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6838EA" w:rsidRDefault="006838EA" w:rsidP="008B596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Директор по персоналу                                                                                            О.В. Молодцова</w:t>
      </w:r>
    </w:p>
    <w:sectPr w:rsidR="006838EA" w:rsidSect="0032592A">
      <w:headerReference w:type="even" r:id="rId9"/>
      <w:footerReference w:type="even" r:id="rId10"/>
      <w:pgSz w:w="11906" w:h="16838"/>
      <w:pgMar w:top="567" w:right="851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1E9" w:rsidRDefault="008971E9">
      <w:r>
        <w:separator/>
      </w:r>
    </w:p>
  </w:endnote>
  <w:endnote w:type="continuationSeparator" w:id="0">
    <w:p w:rsidR="008971E9" w:rsidRDefault="0089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1E9" w:rsidRDefault="008971E9">
      <w:r>
        <w:separator/>
      </w:r>
    </w:p>
  </w:footnote>
  <w:footnote w:type="continuationSeparator" w:id="0">
    <w:p w:rsidR="008971E9" w:rsidRDefault="00897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46"/>
    <w:rsid w:val="00000F67"/>
    <w:rsid w:val="0000573A"/>
    <w:rsid w:val="00014F2F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75507"/>
    <w:rsid w:val="00081FA1"/>
    <w:rsid w:val="00095889"/>
    <w:rsid w:val="000A15D8"/>
    <w:rsid w:val="000A5589"/>
    <w:rsid w:val="000B3799"/>
    <w:rsid w:val="000B67D6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12AD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2B44"/>
    <w:rsid w:val="001F4EF7"/>
    <w:rsid w:val="001F73A8"/>
    <w:rsid w:val="00213D18"/>
    <w:rsid w:val="00226519"/>
    <w:rsid w:val="00232386"/>
    <w:rsid w:val="00234425"/>
    <w:rsid w:val="00235E3C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2592A"/>
    <w:rsid w:val="00333A47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7144F"/>
    <w:rsid w:val="003746B5"/>
    <w:rsid w:val="0038429A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2606"/>
    <w:rsid w:val="003C3E3B"/>
    <w:rsid w:val="003C58B6"/>
    <w:rsid w:val="003C6395"/>
    <w:rsid w:val="003C6605"/>
    <w:rsid w:val="003D1480"/>
    <w:rsid w:val="003F3487"/>
    <w:rsid w:val="003F7608"/>
    <w:rsid w:val="00400A01"/>
    <w:rsid w:val="00402D44"/>
    <w:rsid w:val="004103F5"/>
    <w:rsid w:val="00423B74"/>
    <w:rsid w:val="00426A17"/>
    <w:rsid w:val="004312B0"/>
    <w:rsid w:val="00437E50"/>
    <w:rsid w:val="00440858"/>
    <w:rsid w:val="0045152E"/>
    <w:rsid w:val="0045153E"/>
    <w:rsid w:val="004536EC"/>
    <w:rsid w:val="00454816"/>
    <w:rsid w:val="00454EDC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D88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17B28"/>
    <w:rsid w:val="00623806"/>
    <w:rsid w:val="006301A5"/>
    <w:rsid w:val="00633044"/>
    <w:rsid w:val="006330A2"/>
    <w:rsid w:val="006331F7"/>
    <w:rsid w:val="006362FB"/>
    <w:rsid w:val="00641CCF"/>
    <w:rsid w:val="00646662"/>
    <w:rsid w:val="0064767F"/>
    <w:rsid w:val="00647E52"/>
    <w:rsid w:val="00661CF7"/>
    <w:rsid w:val="00666120"/>
    <w:rsid w:val="006836FD"/>
    <w:rsid w:val="006838EA"/>
    <w:rsid w:val="0069150C"/>
    <w:rsid w:val="00695319"/>
    <w:rsid w:val="00697B87"/>
    <w:rsid w:val="006A7D6A"/>
    <w:rsid w:val="006B316A"/>
    <w:rsid w:val="006B3D32"/>
    <w:rsid w:val="006B3EAE"/>
    <w:rsid w:val="006B40E6"/>
    <w:rsid w:val="006D33EB"/>
    <w:rsid w:val="006D5703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6315B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7F3CFD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821F7"/>
    <w:rsid w:val="00885E5E"/>
    <w:rsid w:val="00891122"/>
    <w:rsid w:val="00892DFC"/>
    <w:rsid w:val="00894773"/>
    <w:rsid w:val="008971E9"/>
    <w:rsid w:val="00897C4B"/>
    <w:rsid w:val="008A5FC3"/>
    <w:rsid w:val="008B596D"/>
    <w:rsid w:val="008C523C"/>
    <w:rsid w:val="008C7498"/>
    <w:rsid w:val="008D05F6"/>
    <w:rsid w:val="008D1CBD"/>
    <w:rsid w:val="008D65EB"/>
    <w:rsid w:val="008D7912"/>
    <w:rsid w:val="008E0420"/>
    <w:rsid w:val="008E7250"/>
    <w:rsid w:val="00904027"/>
    <w:rsid w:val="00905609"/>
    <w:rsid w:val="00912844"/>
    <w:rsid w:val="009134CB"/>
    <w:rsid w:val="00913A94"/>
    <w:rsid w:val="00917FDE"/>
    <w:rsid w:val="00927499"/>
    <w:rsid w:val="00940C15"/>
    <w:rsid w:val="009418C2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CC4"/>
    <w:rsid w:val="00A01E15"/>
    <w:rsid w:val="00A02716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D03A6"/>
    <w:rsid w:val="00AE0804"/>
    <w:rsid w:val="00AE1125"/>
    <w:rsid w:val="00AE6D9F"/>
    <w:rsid w:val="00AE79B9"/>
    <w:rsid w:val="00AE7A7B"/>
    <w:rsid w:val="00AF15B3"/>
    <w:rsid w:val="00AF17A2"/>
    <w:rsid w:val="00B01115"/>
    <w:rsid w:val="00B05214"/>
    <w:rsid w:val="00B0699E"/>
    <w:rsid w:val="00B16D8E"/>
    <w:rsid w:val="00B2762D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68DD"/>
    <w:rsid w:val="00B90EB1"/>
    <w:rsid w:val="00BC08A3"/>
    <w:rsid w:val="00BC60F2"/>
    <w:rsid w:val="00BD1B10"/>
    <w:rsid w:val="00BD2285"/>
    <w:rsid w:val="00BD63CB"/>
    <w:rsid w:val="00BE2CF3"/>
    <w:rsid w:val="00BF37F4"/>
    <w:rsid w:val="00BF5961"/>
    <w:rsid w:val="00C05AC0"/>
    <w:rsid w:val="00C12F9D"/>
    <w:rsid w:val="00C13FEA"/>
    <w:rsid w:val="00C17277"/>
    <w:rsid w:val="00C20468"/>
    <w:rsid w:val="00C20868"/>
    <w:rsid w:val="00C263D0"/>
    <w:rsid w:val="00C3423A"/>
    <w:rsid w:val="00C41EDC"/>
    <w:rsid w:val="00C5561D"/>
    <w:rsid w:val="00C657F9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C53FB"/>
    <w:rsid w:val="00CE4957"/>
    <w:rsid w:val="00CE513E"/>
    <w:rsid w:val="00CE778F"/>
    <w:rsid w:val="00CF0E4D"/>
    <w:rsid w:val="00CF561E"/>
    <w:rsid w:val="00D00984"/>
    <w:rsid w:val="00D10EB6"/>
    <w:rsid w:val="00D14853"/>
    <w:rsid w:val="00D20DB1"/>
    <w:rsid w:val="00D21CD6"/>
    <w:rsid w:val="00D31D87"/>
    <w:rsid w:val="00D32D84"/>
    <w:rsid w:val="00D33871"/>
    <w:rsid w:val="00D33901"/>
    <w:rsid w:val="00D34B95"/>
    <w:rsid w:val="00D35C65"/>
    <w:rsid w:val="00D40F6E"/>
    <w:rsid w:val="00D41759"/>
    <w:rsid w:val="00D424D3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10F2"/>
    <w:rsid w:val="00DF2CAB"/>
    <w:rsid w:val="00DF4DB4"/>
    <w:rsid w:val="00DF5139"/>
    <w:rsid w:val="00DF7FDC"/>
    <w:rsid w:val="00E000F4"/>
    <w:rsid w:val="00E03617"/>
    <w:rsid w:val="00E115D5"/>
    <w:rsid w:val="00E165D0"/>
    <w:rsid w:val="00E200C4"/>
    <w:rsid w:val="00E219FB"/>
    <w:rsid w:val="00E2289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F8F"/>
    <w:rsid w:val="00E64791"/>
    <w:rsid w:val="00E7053A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4AE6"/>
    <w:rsid w:val="00F057F7"/>
    <w:rsid w:val="00F07991"/>
    <w:rsid w:val="00F12212"/>
    <w:rsid w:val="00F17E14"/>
    <w:rsid w:val="00F3371D"/>
    <w:rsid w:val="00F352B6"/>
    <w:rsid w:val="00F36F8A"/>
    <w:rsid w:val="00F4167C"/>
    <w:rsid w:val="00F5296B"/>
    <w:rsid w:val="00F54821"/>
    <w:rsid w:val="00F60787"/>
    <w:rsid w:val="00F60D8A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A171B"/>
    <w:rsid w:val="00FB5ABC"/>
    <w:rsid w:val="00FC3463"/>
    <w:rsid w:val="00FC4C92"/>
    <w:rsid w:val="00FC5CB5"/>
    <w:rsid w:val="00FD365A"/>
    <w:rsid w:val="00FE5498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912FB"/>
  <w15:docId w15:val="{8F11C4F7-779C-427A-9F80-2A6C3207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356C0-FB63-4921-B76F-52FD6EA4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hiliv</dc:creator>
  <cp:lastModifiedBy>Popova Svetlana</cp:lastModifiedBy>
  <cp:revision>29</cp:revision>
  <cp:lastPrinted>2020-10-14T01:14:00Z</cp:lastPrinted>
  <dcterms:created xsi:type="dcterms:W3CDTF">2021-11-12T05:57:00Z</dcterms:created>
  <dcterms:modified xsi:type="dcterms:W3CDTF">2022-05-23T04:13:00Z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